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3506A" w14:textId="346694B1" w:rsidR="00C9181A" w:rsidRPr="00AB72CC" w:rsidRDefault="00C9181A" w:rsidP="00C9181A">
      <w:pPr>
        <w:spacing w:after="0" w:line="240" w:lineRule="auto"/>
        <w:ind w:firstLine="720"/>
        <w:jc w:val="both"/>
        <w:rPr>
          <w:lang w:val="sr-Cyrl-RS"/>
        </w:rPr>
      </w:pPr>
      <w:bookmarkStart w:id="0" w:name="_GoBack"/>
      <w:bookmarkEnd w:id="0"/>
      <w:r w:rsidRPr="00AB72CC">
        <w:rPr>
          <w:lang w:val="sr-Cyrl-RS"/>
        </w:rPr>
        <w:t>На основу чл. 6. и 7. Правилника о условима и начину доделе буџетских средстава за финансирање потреба и интереса младих на територији АП Војводине („Службени лист АПВ“, број 3/17, 18/18 и 36/18) и чл. 24. и 25. Покрајинске скупштинске одлуке о буџету АП Војводине за 202</w:t>
      </w:r>
      <w:r w:rsidR="00E560D7">
        <w:rPr>
          <w:lang w:val="sr-Cyrl-RS"/>
        </w:rPr>
        <w:t>2</w:t>
      </w:r>
      <w:r w:rsidRPr="00AB72CC">
        <w:rPr>
          <w:lang w:val="sr-Cyrl-RS"/>
        </w:rPr>
        <w:t xml:space="preserve">. годину („Службени лист АПВ“, број </w:t>
      </w:r>
      <w:r w:rsidR="00E560D7">
        <w:rPr>
          <w:lang w:val="sr-Cyrl-RS"/>
        </w:rPr>
        <w:t>54</w:t>
      </w:r>
      <w:r w:rsidRPr="00AB72CC">
        <w:rPr>
          <w:lang w:val="sr-Cyrl-RS"/>
        </w:rPr>
        <w:t>/2</w:t>
      </w:r>
      <w:r w:rsidR="00E560D7">
        <w:rPr>
          <w:lang w:val="sr-Cyrl-RS"/>
        </w:rPr>
        <w:t>1</w:t>
      </w:r>
      <w:r w:rsidRPr="00AB72CC">
        <w:rPr>
          <w:lang w:val="sr-Cyrl-RS"/>
        </w:rPr>
        <w:t>), Покрајински секретаријат за спорт и омладину (у даљем тексту: Секретаријат) расписује</w:t>
      </w:r>
    </w:p>
    <w:p w14:paraId="17C48D36" w14:textId="77777777" w:rsidR="00615845" w:rsidRPr="00AB72CC" w:rsidRDefault="00615845" w:rsidP="00836AC3">
      <w:pPr>
        <w:spacing w:after="0" w:line="240" w:lineRule="auto"/>
        <w:ind w:firstLine="720"/>
        <w:jc w:val="both"/>
        <w:rPr>
          <w:b/>
          <w:lang w:val="sr-Cyrl-RS"/>
        </w:rPr>
      </w:pPr>
    </w:p>
    <w:p w14:paraId="6A6A001F" w14:textId="77777777" w:rsidR="00E73856" w:rsidRPr="00AB72CC" w:rsidRDefault="00ED0594" w:rsidP="00101EE4">
      <w:pPr>
        <w:spacing w:after="0" w:line="240" w:lineRule="auto"/>
        <w:jc w:val="center"/>
        <w:rPr>
          <w:b/>
          <w:sz w:val="24"/>
          <w:lang w:val="sr-Cyrl-RS"/>
        </w:rPr>
      </w:pPr>
      <w:r w:rsidRPr="00AB72CC">
        <w:rPr>
          <w:b/>
          <w:sz w:val="24"/>
          <w:lang w:val="sr-Cyrl-RS"/>
        </w:rPr>
        <w:t xml:space="preserve">ЈАВНИ </w:t>
      </w:r>
      <w:r w:rsidR="00E73856" w:rsidRPr="00AB72CC">
        <w:rPr>
          <w:b/>
          <w:sz w:val="24"/>
          <w:lang w:val="sr-Cyrl-RS"/>
        </w:rPr>
        <w:t xml:space="preserve">КОНКУРС </w:t>
      </w:r>
    </w:p>
    <w:p w14:paraId="7F93853E" w14:textId="77777777" w:rsidR="00E73856" w:rsidRPr="00AB72CC" w:rsidRDefault="00E73856" w:rsidP="00101EE4">
      <w:pPr>
        <w:spacing w:after="0" w:line="240" w:lineRule="auto"/>
        <w:jc w:val="center"/>
        <w:rPr>
          <w:b/>
          <w:sz w:val="24"/>
          <w:lang w:val="sr-Cyrl-RS"/>
        </w:rPr>
      </w:pPr>
      <w:r w:rsidRPr="00AB72CC">
        <w:rPr>
          <w:b/>
          <w:sz w:val="24"/>
          <w:lang w:val="sr-Cyrl-RS"/>
        </w:rPr>
        <w:t>ЗА ФИНАНСИРАЊЕ ПРОЈЕКАТА ПОДРШКЕ СПРОВОЂЕЊУ ОМЛАДИНСКЕ ПОЛИТИКЕ</w:t>
      </w:r>
      <w:r w:rsidRPr="00AB72CC">
        <w:rPr>
          <w:b/>
          <w:color w:val="FF0000"/>
          <w:sz w:val="24"/>
          <w:lang w:val="sr-Cyrl-RS"/>
        </w:rPr>
        <w:t xml:space="preserve"> </w:t>
      </w:r>
    </w:p>
    <w:p w14:paraId="0E6D7553" w14:textId="77777777" w:rsidR="00615845" w:rsidRPr="00AB72CC" w:rsidRDefault="00615845" w:rsidP="00101EE4">
      <w:pPr>
        <w:spacing w:after="0" w:line="240" w:lineRule="auto"/>
        <w:jc w:val="center"/>
        <w:rPr>
          <w:lang w:val="sr-Cyrl-RS"/>
        </w:rPr>
      </w:pPr>
    </w:p>
    <w:p w14:paraId="183AB7BD" w14:textId="3BB47F0C" w:rsidR="00E650A8" w:rsidRPr="00AB72CC" w:rsidRDefault="00A36F22" w:rsidP="00101EE4">
      <w:pPr>
        <w:spacing w:after="0" w:line="240" w:lineRule="auto"/>
        <w:rPr>
          <w:b/>
          <w:lang w:val="sr-Cyrl-RS"/>
        </w:rPr>
      </w:pPr>
      <w:r w:rsidRPr="00AB72CC">
        <w:rPr>
          <w:b/>
          <w:lang w:val="sr-Cyrl-RS"/>
        </w:rPr>
        <w:t>УСЛОВИ У ПОГЛЕДУ ПОДНОСИ</w:t>
      </w:r>
      <w:r w:rsidR="00C239CB" w:rsidRPr="00AB72CC">
        <w:rPr>
          <w:b/>
          <w:lang w:val="sr-Cyrl-RS"/>
        </w:rPr>
        <w:t>ЛАЦА</w:t>
      </w:r>
      <w:r w:rsidRPr="00AB72CC">
        <w:rPr>
          <w:b/>
          <w:lang w:val="sr-Cyrl-RS"/>
        </w:rPr>
        <w:t xml:space="preserve"> </w:t>
      </w:r>
      <w:r w:rsidR="002F5BE3">
        <w:rPr>
          <w:b/>
          <w:lang w:val="sr-Cyrl-RS"/>
        </w:rPr>
        <w:t>И ПРЕДЛОГА ПРОЈЕКАТА</w:t>
      </w:r>
    </w:p>
    <w:p w14:paraId="1FA7852F" w14:textId="77777777" w:rsidR="0043183D" w:rsidRPr="00AB72CC" w:rsidRDefault="00A36F22" w:rsidP="00ED0594">
      <w:pPr>
        <w:pStyle w:val="ListParagraph"/>
        <w:numPr>
          <w:ilvl w:val="0"/>
          <w:numId w:val="18"/>
        </w:numPr>
        <w:spacing w:after="0" w:line="240" w:lineRule="auto"/>
        <w:jc w:val="both"/>
        <w:rPr>
          <w:lang w:val="sr-Cyrl-RS"/>
        </w:rPr>
      </w:pPr>
      <w:r w:rsidRPr="00AB72CC">
        <w:rPr>
          <w:lang w:val="sr-Cyrl-RS"/>
        </w:rPr>
        <w:t>Подносиоци предлога пројеката могу бити удружења младих и за младе, омладинске и студентске организације, савези, јединице локалне самоуправе, канцеларије за младе, васпитно-образовне установе</w:t>
      </w:r>
      <w:r w:rsidR="00836AC3" w:rsidRPr="00AB72CC">
        <w:rPr>
          <w:lang w:val="sr-Cyrl-RS"/>
        </w:rPr>
        <w:t xml:space="preserve">, </w:t>
      </w:r>
      <w:r w:rsidRPr="00AB72CC">
        <w:rPr>
          <w:lang w:val="sr-Cyrl-RS"/>
        </w:rPr>
        <w:t>друге установе</w:t>
      </w:r>
      <w:r w:rsidR="00836AC3" w:rsidRPr="00AB72CC">
        <w:rPr>
          <w:lang w:val="sr-Cyrl-RS"/>
        </w:rPr>
        <w:t xml:space="preserve"> и развојне агенције</w:t>
      </w:r>
      <w:r w:rsidR="00ED0594" w:rsidRPr="00AB72CC">
        <w:rPr>
          <w:lang w:val="sr-Cyrl-RS"/>
        </w:rPr>
        <w:t xml:space="preserve"> јединица локалних самоуправа са територије АП Војводине</w:t>
      </w:r>
      <w:r w:rsidRPr="00AB72CC">
        <w:rPr>
          <w:lang w:val="sr-Cyrl-RS"/>
        </w:rPr>
        <w:t xml:space="preserve">. </w:t>
      </w:r>
    </w:p>
    <w:p w14:paraId="78AD2666" w14:textId="77777777" w:rsidR="0043183D" w:rsidRPr="00AB72CC" w:rsidRDefault="0043183D" w:rsidP="00ED0594">
      <w:pPr>
        <w:pStyle w:val="ListParagraph"/>
        <w:numPr>
          <w:ilvl w:val="0"/>
          <w:numId w:val="18"/>
        </w:numPr>
        <w:spacing w:after="0" w:line="240" w:lineRule="auto"/>
        <w:jc w:val="both"/>
        <w:rPr>
          <w:lang w:val="sr-Cyrl-RS"/>
        </w:rPr>
      </w:pPr>
      <w:r w:rsidRPr="00AB72CC">
        <w:rPr>
          <w:lang w:val="sr-Cyrl-RS"/>
        </w:rPr>
        <w:t>Подносилац захтева мора да има седиште на подручју АП Војводине и да располаже капацитетима за реализацију пројеката.</w:t>
      </w:r>
    </w:p>
    <w:p w14:paraId="25A71E74" w14:textId="77777777" w:rsidR="00C239CB" w:rsidRPr="00AB72CC" w:rsidRDefault="00C239CB" w:rsidP="00ED0594">
      <w:pPr>
        <w:pStyle w:val="ListParagraph"/>
        <w:numPr>
          <w:ilvl w:val="0"/>
          <w:numId w:val="18"/>
        </w:numPr>
        <w:spacing w:after="0" w:line="240" w:lineRule="auto"/>
        <w:jc w:val="both"/>
        <w:rPr>
          <w:lang w:val="sr-Cyrl-RS"/>
        </w:rPr>
      </w:pPr>
      <w:r w:rsidRPr="00AB72CC">
        <w:rPr>
          <w:lang w:val="sr-Cyrl-RS"/>
        </w:rPr>
        <w:t>Уколико се пројекат реализује у партнерству с неком организацијом, неопходно је доставити доказ о сарадњи с том организацијом (протокол, споразум и слично).</w:t>
      </w:r>
    </w:p>
    <w:p w14:paraId="17480450" w14:textId="77777777" w:rsidR="00C239CB" w:rsidRPr="00AB72CC" w:rsidRDefault="00C239CB" w:rsidP="0043183D">
      <w:pPr>
        <w:spacing w:after="0" w:line="240" w:lineRule="auto"/>
        <w:jc w:val="both"/>
        <w:rPr>
          <w:lang w:val="sr-Cyrl-RS"/>
        </w:rPr>
      </w:pPr>
    </w:p>
    <w:p w14:paraId="40DA1F12" w14:textId="77777777" w:rsidR="00C239CB" w:rsidRPr="00AB72CC" w:rsidRDefault="00AD66CE" w:rsidP="00AD66CE">
      <w:pPr>
        <w:spacing w:after="0" w:line="240" w:lineRule="auto"/>
        <w:jc w:val="both"/>
        <w:rPr>
          <w:b/>
          <w:lang w:val="sr-Cyrl-RS"/>
        </w:rPr>
      </w:pPr>
      <w:r w:rsidRPr="00AB72CC">
        <w:rPr>
          <w:b/>
          <w:lang w:val="sr-Cyrl-RS"/>
        </w:rPr>
        <w:t>УСЛОВИ У ПОГЛЕДУ ПРЕДЛОГА ПРОЈЕКАТА</w:t>
      </w:r>
    </w:p>
    <w:p w14:paraId="3DC31B38" w14:textId="4B6663BE" w:rsidR="002F5BE3" w:rsidRDefault="00A36F22" w:rsidP="00562074">
      <w:pPr>
        <w:spacing w:after="0" w:line="240" w:lineRule="auto"/>
        <w:ind w:firstLine="720"/>
        <w:jc w:val="both"/>
        <w:rPr>
          <w:lang w:val="sr-Cyrl-RS"/>
        </w:rPr>
      </w:pPr>
      <w:r w:rsidRPr="00AB72CC">
        <w:rPr>
          <w:lang w:val="sr-Cyrl-RS"/>
        </w:rPr>
        <w:t>П</w:t>
      </w:r>
      <w:r w:rsidR="00E73856" w:rsidRPr="00AB72CC">
        <w:rPr>
          <w:lang w:val="sr-Cyrl-RS"/>
        </w:rPr>
        <w:t>ројек</w:t>
      </w:r>
      <w:r w:rsidRPr="00AB72CC">
        <w:rPr>
          <w:lang w:val="sr-Cyrl-RS"/>
        </w:rPr>
        <w:t>ти који се финансирају су пројекти</w:t>
      </w:r>
      <w:r w:rsidR="00E73856" w:rsidRPr="00AB72CC">
        <w:rPr>
          <w:lang w:val="sr-Cyrl-RS"/>
        </w:rPr>
        <w:t xml:space="preserve"> подршке спровођењу омладинске политике </w:t>
      </w:r>
      <w:r w:rsidR="00C9181A" w:rsidRPr="00AB72CC">
        <w:rPr>
          <w:lang w:val="sr-Cyrl-RS"/>
        </w:rPr>
        <w:t xml:space="preserve">који се односе на неке од </w:t>
      </w:r>
      <w:r w:rsidR="00E73856" w:rsidRPr="00AB72CC">
        <w:rPr>
          <w:lang w:val="sr-Cyrl-RS"/>
        </w:rPr>
        <w:t>осам области</w:t>
      </w:r>
      <w:r w:rsidR="00C9181A" w:rsidRPr="00AB72CC">
        <w:rPr>
          <w:lang w:val="sr-Cyrl-RS"/>
        </w:rPr>
        <w:t xml:space="preserve"> и то</w:t>
      </w:r>
      <w:r w:rsidR="00E73856" w:rsidRPr="00AB72CC">
        <w:rPr>
          <w:lang w:val="sr-Cyrl-RS"/>
        </w:rPr>
        <w:t>:</w:t>
      </w:r>
      <w:r w:rsidR="00EC5CF1" w:rsidRPr="00AB72CC">
        <w:rPr>
          <w:lang w:val="sr-Cyrl-RS"/>
        </w:rPr>
        <w:t xml:space="preserve"> образовање младих; з</w:t>
      </w:r>
      <w:r w:rsidR="00E73856" w:rsidRPr="00AB72CC">
        <w:rPr>
          <w:lang w:val="sr-Cyrl-RS"/>
        </w:rPr>
        <w:t>апошљавање младих</w:t>
      </w:r>
      <w:r w:rsidR="00EC5CF1" w:rsidRPr="00AB72CC">
        <w:rPr>
          <w:lang w:val="sr-Cyrl-RS"/>
        </w:rPr>
        <w:t>; з</w:t>
      </w:r>
      <w:r w:rsidR="00E73856" w:rsidRPr="00AB72CC">
        <w:rPr>
          <w:lang w:val="sr-Cyrl-RS"/>
        </w:rPr>
        <w:t>дравље младих и социјална политика према младима</w:t>
      </w:r>
      <w:r w:rsidR="00EC5CF1" w:rsidRPr="00AB72CC">
        <w:rPr>
          <w:lang w:val="sr-Cyrl-RS"/>
        </w:rPr>
        <w:t>; к</w:t>
      </w:r>
      <w:r w:rsidR="00E73856" w:rsidRPr="00AB72CC">
        <w:rPr>
          <w:lang w:val="sr-Cyrl-RS"/>
        </w:rPr>
        <w:t>ултура и информисање младих</w:t>
      </w:r>
      <w:r w:rsidR="00EC5CF1" w:rsidRPr="00AB72CC">
        <w:rPr>
          <w:lang w:val="sr-Cyrl-RS"/>
        </w:rPr>
        <w:t>; а</w:t>
      </w:r>
      <w:r w:rsidR="00E73856" w:rsidRPr="00AB72CC">
        <w:rPr>
          <w:lang w:val="sr-Cyrl-RS"/>
        </w:rPr>
        <w:t>ктивизам и слободно време младих</w:t>
      </w:r>
      <w:r w:rsidR="00EC5CF1" w:rsidRPr="00AB72CC">
        <w:rPr>
          <w:lang w:val="sr-Cyrl-RS"/>
        </w:rPr>
        <w:t>; в</w:t>
      </w:r>
      <w:r w:rsidR="00E73856" w:rsidRPr="00AB72CC">
        <w:rPr>
          <w:lang w:val="sr-Cyrl-RS"/>
        </w:rPr>
        <w:t>олонтеризам и мобилност младих</w:t>
      </w:r>
      <w:r w:rsidR="00EC5CF1" w:rsidRPr="00AB72CC">
        <w:rPr>
          <w:lang w:val="sr-Cyrl-RS"/>
        </w:rPr>
        <w:t>; б</w:t>
      </w:r>
      <w:r w:rsidR="00E73856" w:rsidRPr="00AB72CC">
        <w:rPr>
          <w:lang w:val="sr-Cyrl-RS"/>
        </w:rPr>
        <w:t>езбедност младих</w:t>
      </w:r>
      <w:r w:rsidR="00EC5CF1" w:rsidRPr="00AB72CC">
        <w:rPr>
          <w:lang w:val="sr-Cyrl-RS"/>
        </w:rPr>
        <w:t>; з</w:t>
      </w:r>
      <w:r w:rsidR="00E73856" w:rsidRPr="00AB72CC">
        <w:rPr>
          <w:lang w:val="sr-Cyrl-RS"/>
        </w:rPr>
        <w:t>аштита ж</w:t>
      </w:r>
      <w:r w:rsidR="00EC5CF1" w:rsidRPr="00AB72CC">
        <w:rPr>
          <w:lang w:val="sr-Cyrl-RS"/>
        </w:rPr>
        <w:t>ивотне средине и одрживи развој.</w:t>
      </w:r>
    </w:p>
    <w:p w14:paraId="44F3DCA5" w14:textId="5B563B09" w:rsidR="0089391D" w:rsidRPr="0089391D" w:rsidRDefault="0089391D" w:rsidP="0089391D">
      <w:pPr>
        <w:spacing w:after="0" w:line="240" w:lineRule="auto"/>
        <w:ind w:firstLine="720"/>
        <w:jc w:val="both"/>
        <w:rPr>
          <w:lang w:val="sr-Cyrl-RS"/>
        </w:rPr>
      </w:pPr>
      <w:r w:rsidRPr="0089391D">
        <w:rPr>
          <w:lang w:val="sr-Cyrl-RS"/>
        </w:rPr>
        <w:t xml:space="preserve">Поред наведеног, путем овог конкурса врши се и избор </w:t>
      </w:r>
      <w:r w:rsidRPr="0089391D">
        <w:rPr>
          <w:b/>
          <w:lang w:val="sr-Cyrl-RS"/>
        </w:rPr>
        <w:t>једне</w:t>
      </w:r>
      <w:r w:rsidRPr="0089391D">
        <w:rPr>
          <w:lang w:val="sr-Cyrl-RS"/>
        </w:rPr>
        <w:t xml:space="preserve"> </w:t>
      </w:r>
      <w:r w:rsidRPr="0089391D">
        <w:rPr>
          <w:b/>
          <w:lang w:val="sr-Cyrl-RS"/>
        </w:rPr>
        <w:t xml:space="preserve">организације </w:t>
      </w:r>
      <w:r w:rsidRPr="0089391D">
        <w:rPr>
          <w:lang w:val="sr-Cyrl-RS"/>
        </w:rPr>
        <w:t xml:space="preserve">која ће вршити мониторинг </w:t>
      </w:r>
      <w:r w:rsidRPr="0089391D">
        <w:rPr>
          <w:lang w:val="sr-Latn-RS"/>
        </w:rPr>
        <w:t>p</w:t>
      </w:r>
      <w:r w:rsidRPr="0089391D">
        <w:rPr>
          <w:lang w:val="sr-Cyrl-RS"/>
        </w:rPr>
        <w:t>еализације одобрених пројеката по конкурсима у областима омладинске политике, које расписује Покрајински секретаријат за спорт и омладину. На овај конкурсни задатак могу да аплицирају само организације младих и за младе које,</w:t>
      </w:r>
      <w:r w:rsidRPr="0089391D">
        <w:rPr>
          <w:lang w:val="sr-Latn-RS"/>
        </w:rPr>
        <w:t xml:space="preserve"> </w:t>
      </w:r>
      <w:r w:rsidRPr="0089391D">
        <w:rPr>
          <w:lang w:val="sr-Cyrl-RS"/>
        </w:rPr>
        <w:t>поред општих услова, имају и искуства на пословима мониторинга и евалуације. Пројектни задаци са изабраном организацијом биће посебно дефинисани уговором.</w:t>
      </w:r>
    </w:p>
    <w:p w14:paraId="5A6477D6" w14:textId="2D79E12D" w:rsidR="0089391D" w:rsidRDefault="0089391D" w:rsidP="0089391D">
      <w:pPr>
        <w:spacing w:after="0" w:line="240" w:lineRule="auto"/>
        <w:ind w:firstLine="720"/>
        <w:jc w:val="both"/>
        <w:rPr>
          <w:lang w:val="sr-Cyrl-RS"/>
        </w:rPr>
      </w:pPr>
      <w:r w:rsidRPr="0089391D">
        <w:rPr>
          <w:lang w:val="sr-Cyrl-RS"/>
        </w:rPr>
        <w:t xml:space="preserve">Максимални износ средстава који може бити одобрен за пројектни задатак „мониторинг и евалуацију одобрених пројеката по Конкурсу за финансирање пројеката подршке спровођењу омладинске политике“ износи </w:t>
      </w:r>
      <w:r w:rsidR="004D65ED" w:rsidRPr="004D65ED">
        <w:rPr>
          <w:lang w:val="sr-Latn-RS"/>
        </w:rPr>
        <w:t>50</w:t>
      </w:r>
      <w:r w:rsidRPr="004D65ED">
        <w:rPr>
          <w:lang w:val="sr-Cyrl-RS"/>
        </w:rPr>
        <w:t xml:space="preserve">0.000,00 </w:t>
      </w:r>
      <w:r w:rsidRPr="0089391D">
        <w:rPr>
          <w:lang w:val="sr-Cyrl-RS"/>
        </w:rPr>
        <w:t>динара.</w:t>
      </w:r>
    </w:p>
    <w:p w14:paraId="37C05111" w14:textId="77777777" w:rsidR="00E4622E" w:rsidRPr="0089391D" w:rsidRDefault="00E4622E" w:rsidP="0089391D">
      <w:pPr>
        <w:spacing w:after="0" w:line="240" w:lineRule="auto"/>
        <w:ind w:firstLine="720"/>
        <w:jc w:val="both"/>
        <w:rPr>
          <w:lang w:val="sr-Cyrl-RS"/>
        </w:rPr>
      </w:pPr>
    </w:p>
    <w:p w14:paraId="50F6ED35" w14:textId="14BBE3FE" w:rsidR="00C239CB" w:rsidRPr="006A5121" w:rsidRDefault="00607731" w:rsidP="00FB12F7">
      <w:pPr>
        <w:spacing w:after="0" w:line="240" w:lineRule="auto"/>
        <w:ind w:firstLine="720"/>
        <w:jc w:val="both"/>
        <w:rPr>
          <w:lang w:val="sr-Cyrl-RS"/>
        </w:rPr>
      </w:pPr>
      <w:r w:rsidRPr="00AB72CC">
        <w:rPr>
          <w:lang w:val="sr-Cyrl-RS"/>
        </w:rPr>
        <w:t>Укупан износ средстава који се расподељује по овом конкурсу износи</w:t>
      </w:r>
      <w:r w:rsidR="00C239CB" w:rsidRPr="00AB72CC">
        <w:rPr>
          <w:b/>
          <w:lang w:val="sr-Cyrl-RS"/>
        </w:rPr>
        <w:t xml:space="preserve"> </w:t>
      </w:r>
      <w:r w:rsidR="0026343A">
        <w:rPr>
          <w:b/>
          <w:lang w:val="sr-Latn-RS"/>
        </w:rPr>
        <w:t>28</w:t>
      </w:r>
      <w:r w:rsidR="006E65E1" w:rsidRPr="00AB72CC">
        <w:rPr>
          <w:b/>
          <w:lang w:val="sr-Cyrl-RS"/>
        </w:rPr>
        <w:t>.000.000,00</w:t>
      </w:r>
      <w:r w:rsidR="00C239CB" w:rsidRPr="00AB72CC">
        <w:rPr>
          <w:b/>
          <w:lang w:val="sr-Cyrl-RS"/>
        </w:rPr>
        <w:t xml:space="preserve"> </w:t>
      </w:r>
      <w:r w:rsidR="006E65E1" w:rsidRPr="00AB72CC">
        <w:rPr>
          <w:b/>
          <w:lang w:val="sr-Cyrl-RS"/>
        </w:rPr>
        <w:t>(</w:t>
      </w:r>
      <w:r w:rsidR="0026343A">
        <w:rPr>
          <w:b/>
          <w:lang w:val="sr-Cyrl-RS"/>
        </w:rPr>
        <w:t>два</w:t>
      </w:r>
      <w:r w:rsidR="006E65E1" w:rsidRPr="00AB72CC">
        <w:rPr>
          <w:b/>
          <w:lang w:val="sr-Cyrl-RS"/>
        </w:rPr>
        <w:t>десет</w:t>
      </w:r>
      <w:r w:rsidR="00AB72CC">
        <w:rPr>
          <w:b/>
          <w:lang w:val="sr-Cyrl-RS"/>
        </w:rPr>
        <w:t xml:space="preserve"> </w:t>
      </w:r>
      <w:r w:rsidR="0026343A">
        <w:rPr>
          <w:b/>
          <w:lang w:val="sr-Cyrl-RS"/>
        </w:rPr>
        <w:t xml:space="preserve">осам </w:t>
      </w:r>
      <w:r w:rsidR="006E65E1" w:rsidRPr="00AB72CC">
        <w:rPr>
          <w:b/>
          <w:lang w:val="sr-Cyrl-RS"/>
        </w:rPr>
        <w:t>милиона</w:t>
      </w:r>
      <w:r w:rsidR="0026343A">
        <w:rPr>
          <w:b/>
          <w:lang w:val="sr-Cyrl-RS"/>
        </w:rPr>
        <w:t>)</w:t>
      </w:r>
      <w:r w:rsidR="00FB12F7" w:rsidRPr="00AB72CC">
        <w:rPr>
          <w:b/>
          <w:lang w:val="sr-Cyrl-RS"/>
        </w:rPr>
        <w:t xml:space="preserve"> </w:t>
      </w:r>
      <w:r w:rsidR="00C239CB" w:rsidRPr="00AB72CC">
        <w:rPr>
          <w:b/>
          <w:lang w:val="sr-Cyrl-RS"/>
        </w:rPr>
        <w:t>динара.</w:t>
      </w:r>
      <w:r w:rsidR="00A872F6" w:rsidRPr="00AB72CC">
        <w:rPr>
          <w:b/>
          <w:lang w:val="sr-Cyrl-RS"/>
        </w:rPr>
        <w:t xml:space="preserve"> </w:t>
      </w:r>
      <w:r w:rsidR="00A872F6" w:rsidRPr="006A5121">
        <w:rPr>
          <w:lang w:val="sr-Cyrl-RS"/>
        </w:rPr>
        <w:t xml:space="preserve">Од наведеног укупног износа, износ од </w:t>
      </w:r>
      <w:r w:rsidR="006A5121" w:rsidRPr="006A5121">
        <w:rPr>
          <w:lang w:val="sr-Cyrl-RS"/>
        </w:rPr>
        <w:t>3</w:t>
      </w:r>
      <w:r w:rsidR="006E65E1" w:rsidRPr="006A5121">
        <w:rPr>
          <w:lang w:val="sr-Cyrl-RS"/>
        </w:rPr>
        <w:t>.000.000,00</w:t>
      </w:r>
      <w:r w:rsidR="00A872F6" w:rsidRPr="006A5121">
        <w:rPr>
          <w:lang w:val="sr-Cyrl-RS"/>
        </w:rPr>
        <w:t xml:space="preserve"> динара планиран је </w:t>
      </w:r>
      <w:r w:rsidR="00C963AA" w:rsidRPr="006A5121">
        <w:rPr>
          <w:lang w:val="sr-Cyrl-RS"/>
        </w:rPr>
        <w:t xml:space="preserve">за </w:t>
      </w:r>
      <w:r w:rsidR="00A872F6" w:rsidRPr="006A5121">
        <w:rPr>
          <w:lang w:val="sr-Cyrl-RS"/>
        </w:rPr>
        <w:t>трансфер</w:t>
      </w:r>
      <w:r w:rsidR="00C963AA" w:rsidRPr="006A5121">
        <w:rPr>
          <w:lang w:val="sr-Cyrl-RS"/>
        </w:rPr>
        <w:t>е</w:t>
      </w:r>
      <w:r w:rsidR="00A872F6" w:rsidRPr="006A5121">
        <w:rPr>
          <w:lang w:val="sr-Cyrl-RS"/>
        </w:rPr>
        <w:t xml:space="preserve"> осталим нивоима власти, а износ од </w:t>
      </w:r>
      <w:r w:rsidR="006A5121" w:rsidRPr="006A5121">
        <w:rPr>
          <w:lang w:val="sr-Cyrl-RS"/>
        </w:rPr>
        <w:t>25</w:t>
      </w:r>
      <w:r w:rsidR="006E65E1" w:rsidRPr="006A5121">
        <w:rPr>
          <w:lang w:val="sr-Cyrl-RS"/>
        </w:rPr>
        <w:t>.000.000,00</w:t>
      </w:r>
      <w:r w:rsidR="00A872F6" w:rsidRPr="006A5121">
        <w:rPr>
          <w:lang w:val="sr-Cyrl-RS"/>
        </w:rPr>
        <w:t xml:space="preserve"> динара </w:t>
      </w:r>
      <w:r w:rsidR="00C963AA" w:rsidRPr="006A5121">
        <w:rPr>
          <w:lang w:val="sr-Cyrl-RS"/>
        </w:rPr>
        <w:t xml:space="preserve">за </w:t>
      </w:r>
      <w:r w:rsidR="00A872F6" w:rsidRPr="006A5121">
        <w:rPr>
          <w:lang w:val="sr-Cyrl-RS"/>
        </w:rPr>
        <w:t>дотације невладиним организацијама.</w:t>
      </w:r>
    </w:p>
    <w:p w14:paraId="2BF6E37F" w14:textId="77777777" w:rsidR="00C239CB" w:rsidRPr="00AB72CC" w:rsidRDefault="00C239CB" w:rsidP="00C239CB">
      <w:pPr>
        <w:spacing w:after="0" w:line="240" w:lineRule="auto"/>
        <w:jc w:val="both"/>
        <w:rPr>
          <w:lang w:val="sr-Cyrl-RS"/>
        </w:rPr>
      </w:pPr>
    </w:p>
    <w:p w14:paraId="39823F6D" w14:textId="77777777" w:rsidR="00E73856" w:rsidRPr="00AB72CC" w:rsidRDefault="00AD66CE" w:rsidP="00AD66CE">
      <w:pPr>
        <w:spacing w:after="0" w:line="240" w:lineRule="auto"/>
        <w:jc w:val="both"/>
        <w:rPr>
          <w:b/>
          <w:lang w:val="sr-Cyrl-RS"/>
        </w:rPr>
      </w:pPr>
      <w:r w:rsidRPr="00AB72CC">
        <w:rPr>
          <w:b/>
          <w:lang w:val="sr-Cyrl-RS"/>
        </w:rPr>
        <w:t xml:space="preserve">РОК ЗА ПОДНОШЕЊЕ ПРЕДЛОГА ПРОЈЕКАТА ПО </w:t>
      </w:r>
      <w:r w:rsidR="0043183D" w:rsidRPr="00AB72CC">
        <w:rPr>
          <w:b/>
          <w:lang w:val="sr-Cyrl-RS"/>
        </w:rPr>
        <w:t>КОНКУРС</w:t>
      </w:r>
      <w:r w:rsidRPr="00AB72CC">
        <w:rPr>
          <w:b/>
          <w:lang w:val="sr-Cyrl-RS"/>
        </w:rPr>
        <w:t>У</w:t>
      </w:r>
    </w:p>
    <w:p w14:paraId="60214C48" w14:textId="77777777" w:rsidR="00E560D7" w:rsidRPr="00E560D7" w:rsidRDefault="00E560D7" w:rsidP="00E560D7">
      <w:pPr>
        <w:spacing w:after="0" w:line="240" w:lineRule="auto"/>
        <w:ind w:firstLine="720"/>
        <w:jc w:val="both"/>
        <w:rPr>
          <w:rFonts w:ascii="Calibri" w:eastAsia="Times New Roman" w:hAnsi="Calibri" w:cs="Times New Roman"/>
          <w:noProof/>
          <w:lang w:val="sr-Cyrl-RS"/>
        </w:rPr>
      </w:pPr>
      <w:r w:rsidRPr="00E560D7">
        <w:rPr>
          <w:rFonts w:ascii="Calibri" w:eastAsia="Times New Roman" w:hAnsi="Calibri" w:cs="Times New Roman"/>
          <w:b/>
          <w:noProof/>
          <w:lang w:val="sr-Cyrl-RS"/>
        </w:rPr>
        <w:t>Јавни конкурс је отворен од дана објављивања у дневном листу „Дневник“ и траје до 1. марта 2022. године</w:t>
      </w:r>
      <w:r w:rsidRPr="00E560D7">
        <w:rPr>
          <w:rFonts w:ascii="Calibri" w:eastAsia="Times New Roman" w:hAnsi="Calibri" w:cs="Times New Roman"/>
          <w:noProof/>
          <w:lang w:val="sr-Cyrl-RS"/>
        </w:rPr>
        <w:t>.</w:t>
      </w:r>
    </w:p>
    <w:p w14:paraId="78786049" w14:textId="77777777" w:rsidR="00E560D7" w:rsidRPr="00E560D7" w:rsidRDefault="00E560D7" w:rsidP="00E560D7">
      <w:pPr>
        <w:spacing w:after="0" w:line="240" w:lineRule="auto"/>
        <w:ind w:firstLine="720"/>
        <w:jc w:val="both"/>
        <w:rPr>
          <w:rFonts w:ascii="Calibri" w:eastAsia="Times New Roman" w:hAnsi="Calibri" w:cs="Times New Roman"/>
          <w:noProof/>
          <w:lang w:val="sr-Cyrl-CS"/>
        </w:rPr>
      </w:pPr>
      <w:r w:rsidRPr="00E560D7">
        <w:rPr>
          <w:rFonts w:ascii="Calibri" w:eastAsia="Times New Roman" w:hAnsi="Calibri" w:cs="Times New Roman"/>
          <w:noProof/>
          <w:lang w:val="sr-Cyrl-CS"/>
        </w:rPr>
        <w:t>Након истека рока трајања овог Конкурса, стручна Комисија ће вредновати поднете предлоге пројеката, те доставити покрајинском секретару предлог за финансирање. Након доношења одлуке на интернет страници Секретаријата ће се објавити списак подносилаца чији су предлози пројекта одобрени. Објављивањем ове листе, сматраће се да су подносиоци предлога пројеката који нису на листи, одбијени са захтевом за финансирање, те да су на овај начин о томе обавештени.</w:t>
      </w:r>
    </w:p>
    <w:p w14:paraId="5814CD81" w14:textId="77777777" w:rsidR="00D1320D" w:rsidRPr="00AB72CC" w:rsidRDefault="00D1320D" w:rsidP="00845779">
      <w:pPr>
        <w:spacing w:after="0" w:line="240" w:lineRule="auto"/>
        <w:rPr>
          <w:lang w:val="sr-Cyrl-RS"/>
        </w:rPr>
      </w:pPr>
    </w:p>
    <w:p w14:paraId="311CA3BB" w14:textId="77777777" w:rsidR="00AD66CE" w:rsidRPr="00AB72CC" w:rsidRDefault="00AD66CE" w:rsidP="00845779">
      <w:pPr>
        <w:spacing w:after="0" w:line="240" w:lineRule="auto"/>
        <w:rPr>
          <w:b/>
          <w:lang w:val="sr-Cyrl-RS"/>
        </w:rPr>
      </w:pPr>
      <w:r w:rsidRPr="00AB72CC">
        <w:rPr>
          <w:b/>
          <w:lang w:val="sr-Cyrl-RS"/>
        </w:rPr>
        <w:t xml:space="preserve">НАЧИН ПОДНОШЕЊА ПРЕДЛОГА ПРОЈЕКАТА </w:t>
      </w:r>
    </w:p>
    <w:p w14:paraId="5BDC30FF" w14:textId="20224548" w:rsidR="00615845" w:rsidRDefault="00B76E17" w:rsidP="00C9181A">
      <w:pPr>
        <w:spacing w:after="0" w:line="240" w:lineRule="auto"/>
        <w:ind w:firstLine="720"/>
        <w:jc w:val="both"/>
        <w:rPr>
          <w:color w:val="000000" w:themeColor="text1"/>
          <w:lang w:val="sr-Cyrl-RS"/>
        </w:rPr>
      </w:pPr>
      <w:r w:rsidRPr="00AB72CC">
        <w:rPr>
          <w:color w:val="000000" w:themeColor="text1"/>
          <w:lang w:val="sr-Cyrl-RS"/>
        </w:rPr>
        <w:lastRenderedPageBreak/>
        <w:t>Пријаве на конкурс испуњавају се искључиво на обрасцу који је објављен на интернет сајту Секретаријата</w:t>
      </w:r>
      <w:bookmarkStart w:id="1" w:name="OLE_LINK2"/>
      <w:bookmarkStart w:id="2" w:name="OLE_LINK1"/>
      <w:r w:rsidRPr="00AB72CC">
        <w:rPr>
          <w:color w:val="000000" w:themeColor="text1"/>
          <w:lang w:val="sr-Cyrl-RS"/>
        </w:rPr>
        <w:t xml:space="preserve">: </w:t>
      </w:r>
      <w:hyperlink r:id="rId8" w:history="1">
        <w:r w:rsidRPr="00AB72CC">
          <w:rPr>
            <w:color w:val="000000" w:themeColor="text1"/>
            <w:u w:val="single"/>
            <w:lang w:val="sr-Cyrl-RS"/>
          </w:rPr>
          <w:t>www.sio.vojvodina.gov.rs</w:t>
        </w:r>
      </w:hyperlink>
      <w:bookmarkEnd w:id="1"/>
      <w:bookmarkEnd w:id="2"/>
      <w:r w:rsidRPr="00AB72CC">
        <w:rPr>
          <w:color w:val="000000" w:themeColor="text1"/>
          <w:lang w:val="sr-Cyrl-RS"/>
        </w:rPr>
        <w:t xml:space="preserve"> и достављају се </w:t>
      </w:r>
      <w:r w:rsidR="0040635F" w:rsidRPr="00AB72CC">
        <w:rPr>
          <w:color w:val="000000" w:themeColor="text1"/>
          <w:lang w:val="sr-Cyrl-RS"/>
        </w:rPr>
        <w:t>заједно са CD</w:t>
      </w:r>
      <w:r w:rsidR="00B85E1F" w:rsidRPr="00AB72CC">
        <w:rPr>
          <w:color w:val="000000" w:themeColor="text1"/>
          <w:lang w:val="sr-Cyrl-RS"/>
        </w:rPr>
        <w:t xml:space="preserve">-ом (који треба да садржи скениране све документе </w:t>
      </w:r>
      <w:r w:rsidR="00506621" w:rsidRPr="00AB72CC">
        <w:rPr>
          <w:color w:val="000000" w:themeColor="text1"/>
          <w:lang w:val="sr-Cyrl-RS"/>
        </w:rPr>
        <w:t xml:space="preserve">у ПДФ формату </w:t>
      </w:r>
      <w:r w:rsidR="00B85E1F" w:rsidRPr="00AB72CC">
        <w:rPr>
          <w:color w:val="000000" w:themeColor="text1"/>
          <w:lang w:val="sr-Cyrl-RS"/>
        </w:rPr>
        <w:t xml:space="preserve">који се достављају уз захтев) </w:t>
      </w:r>
      <w:r w:rsidR="0040635F" w:rsidRPr="00AB72CC">
        <w:rPr>
          <w:color w:val="000000" w:themeColor="text1"/>
          <w:lang w:val="sr-Cyrl-RS"/>
        </w:rPr>
        <w:t>П</w:t>
      </w:r>
      <w:r w:rsidRPr="00AB72CC">
        <w:rPr>
          <w:color w:val="000000" w:themeColor="text1"/>
          <w:lang w:val="sr-Cyrl-RS"/>
        </w:rPr>
        <w:t>ријав</w:t>
      </w:r>
      <w:r w:rsidR="001F193E" w:rsidRPr="00AB72CC">
        <w:rPr>
          <w:color w:val="000000" w:themeColor="text1"/>
          <w:lang w:val="sr-Cyrl-RS"/>
        </w:rPr>
        <w:t xml:space="preserve">e се достављају у коверти са назнаком </w:t>
      </w:r>
      <w:r w:rsidR="001F193E" w:rsidRPr="00AB72CC">
        <w:rPr>
          <w:b/>
          <w:color w:val="000000" w:themeColor="text1"/>
          <w:lang w:val="sr-Cyrl-RS"/>
        </w:rPr>
        <w:t>„Пријава</w:t>
      </w:r>
      <w:r w:rsidRPr="00AB72CC">
        <w:rPr>
          <w:b/>
          <w:color w:val="000000" w:themeColor="text1"/>
          <w:lang w:val="sr-Cyrl-RS"/>
        </w:rPr>
        <w:t xml:space="preserve"> за </w:t>
      </w:r>
      <w:r w:rsidR="00ED0594" w:rsidRPr="00AB72CC">
        <w:rPr>
          <w:b/>
          <w:color w:val="000000" w:themeColor="text1"/>
          <w:lang w:val="sr-Cyrl-RS"/>
        </w:rPr>
        <w:t>Јавни к</w:t>
      </w:r>
      <w:r w:rsidRPr="00AB72CC">
        <w:rPr>
          <w:b/>
          <w:color w:val="000000" w:themeColor="text1"/>
          <w:lang w:val="sr-Cyrl-RS"/>
        </w:rPr>
        <w:t>онкурс за финансирање пројеката подршке спровођењу омладинске политике“</w:t>
      </w:r>
      <w:r w:rsidR="001F193E" w:rsidRPr="00AB72CC">
        <w:rPr>
          <w:color w:val="000000" w:themeColor="text1"/>
          <w:lang w:val="sr-Cyrl-RS"/>
        </w:rPr>
        <w:t>, поштом</w:t>
      </w:r>
      <w:r w:rsidRPr="00AB72CC">
        <w:rPr>
          <w:color w:val="000000" w:themeColor="text1"/>
          <w:lang w:val="sr-Cyrl-RS"/>
        </w:rPr>
        <w:t xml:space="preserve"> на адресу: Покрајински секретаријат за спорт и омладину, Бул. Михајла Пупина 16, 21000 Нови Сад, или непосредно на писарници покрајинских органа. Неблаговремене и непотпуне пријаве, неће се разматрати.</w:t>
      </w:r>
    </w:p>
    <w:p w14:paraId="5DC89992" w14:textId="77777777" w:rsidR="00767B0D" w:rsidRDefault="00767B0D" w:rsidP="00104CDA">
      <w:pPr>
        <w:spacing w:after="0" w:line="240" w:lineRule="auto"/>
        <w:jc w:val="both"/>
        <w:rPr>
          <w:color w:val="000000" w:themeColor="text1"/>
          <w:lang w:val="sr-Cyrl-RS"/>
        </w:rPr>
      </w:pPr>
    </w:p>
    <w:sectPr w:rsidR="00767B0D" w:rsidSect="00C9181A">
      <w:headerReference w:type="default" r:id="rId9"/>
      <w:headerReference w:type="first" r:id="rId10"/>
      <w:pgSz w:w="11906" w:h="16838" w:code="9"/>
      <w:pgMar w:top="913" w:right="1417" w:bottom="709"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11208" w14:textId="77777777" w:rsidR="00493AA7" w:rsidRDefault="00493AA7" w:rsidP="00D1320D">
      <w:pPr>
        <w:spacing w:after="0" w:line="240" w:lineRule="auto"/>
      </w:pPr>
      <w:r>
        <w:separator/>
      </w:r>
    </w:p>
  </w:endnote>
  <w:endnote w:type="continuationSeparator" w:id="0">
    <w:p w14:paraId="1D4076D2" w14:textId="77777777" w:rsidR="00493AA7" w:rsidRDefault="00493AA7" w:rsidP="00D13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D9797" w14:textId="77777777" w:rsidR="00493AA7" w:rsidRDefault="00493AA7" w:rsidP="00D1320D">
      <w:pPr>
        <w:spacing w:after="0" w:line="240" w:lineRule="auto"/>
      </w:pPr>
      <w:r>
        <w:separator/>
      </w:r>
    </w:p>
  </w:footnote>
  <w:footnote w:type="continuationSeparator" w:id="0">
    <w:p w14:paraId="388D4EC8" w14:textId="77777777" w:rsidR="00493AA7" w:rsidRDefault="00493AA7" w:rsidP="00D13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F168E" w14:textId="77777777" w:rsidR="001C28D4" w:rsidRDefault="00493AA7" w:rsidP="00D1320D">
    <w:pPr>
      <w:spacing w:after="0"/>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jc w:val="center"/>
      <w:tblLayout w:type="fixed"/>
      <w:tblLook w:val="04A0" w:firstRow="1" w:lastRow="0" w:firstColumn="1" w:lastColumn="0" w:noHBand="0" w:noVBand="1"/>
    </w:tblPr>
    <w:tblGrid>
      <w:gridCol w:w="2269"/>
      <w:gridCol w:w="7938"/>
    </w:tblGrid>
    <w:tr w:rsidR="00EC5CF1" w:rsidRPr="00D1320D" w14:paraId="4C59E8E1" w14:textId="77777777" w:rsidTr="00A577C5">
      <w:trPr>
        <w:trHeight w:val="1421"/>
        <w:jc w:val="center"/>
      </w:trPr>
      <w:tc>
        <w:tcPr>
          <w:tcW w:w="2269" w:type="dxa"/>
        </w:tcPr>
        <w:p w14:paraId="4D7FC771" w14:textId="77777777" w:rsidR="00EC5CF1" w:rsidRPr="00D1320D" w:rsidRDefault="00EC5CF1" w:rsidP="004C7826">
          <w:pPr>
            <w:tabs>
              <w:tab w:val="center" w:pos="4536"/>
              <w:tab w:val="right" w:pos="9072"/>
            </w:tabs>
            <w:spacing w:after="0" w:line="240" w:lineRule="auto"/>
            <w:ind w:left="-198" w:firstLine="108"/>
            <w:jc w:val="both"/>
            <w:rPr>
              <w:rFonts w:ascii="Arial" w:eastAsia="Times New Roman" w:hAnsi="Arial" w:cs="Times New Roman"/>
              <w:noProof/>
              <w:color w:val="000000"/>
              <w:lang w:val="sr-Latn-CS"/>
            </w:rPr>
          </w:pPr>
          <w:r w:rsidRPr="00F53DD4">
            <w:rPr>
              <w:noProof/>
            </w:rPr>
            <w:drawing>
              <wp:inline distT="0" distB="0" distL="0" distR="0" wp14:anchorId="05B7E93F" wp14:editId="7B7BC550">
                <wp:extent cx="1365422" cy="885255"/>
                <wp:effectExtent l="0" t="0" r="6350" b="0"/>
                <wp:docPr id="7" name="Picture 7"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398" cy="887185"/>
                        </a:xfrm>
                        <a:prstGeom prst="rect">
                          <a:avLst/>
                        </a:prstGeom>
                        <a:noFill/>
                        <a:ln>
                          <a:noFill/>
                        </a:ln>
                      </pic:spPr>
                    </pic:pic>
                  </a:graphicData>
                </a:graphic>
              </wp:inline>
            </w:drawing>
          </w:r>
        </w:p>
      </w:tc>
      <w:tc>
        <w:tcPr>
          <w:tcW w:w="7938" w:type="dxa"/>
        </w:tcPr>
        <w:p w14:paraId="3A130C2C" w14:textId="77777777" w:rsidR="00EC5CF1" w:rsidRPr="00D1320D" w:rsidRDefault="00EC5CF1" w:rsidP="004C7826">
          <w:pPr>
            <w:tabs>
              <w:tab w:val="center" w:pos="4536"/>
              <w:tab w:val="right" w:pos="9072"/>
            </w:tabs>
            <w:spacing w:after="0" w:line="240" w:lineRule="auto"/>
            <w:jc w:val="both"/>
            <w:rPr>
              <w:rFonts w:ascii="Calibri" w:eastAsia="Times New Roman" w:hAnsi="Calibri" w:cs="Times New Roman"/>
              <w:noProof/>
              <w:color w:val="000000"/>
              <w:sz w:val="18"/>
              <w:szCs w:val="20"/>
              <w:lang w:val="sr-Latn-CS"/>
            </w:rPr>
          </w:pPr>
          <w:r w:rsidRPr="00D1320D">
            <w:rPr>
              <w:rFonts w:ascii="Calibri" w:eastAsia="Times New Roman" w:hAnsi="Calibri" w:cs="Times New Roman"/>
              <w:noProof/>
              <w:color w:val="000000"/>
              <w:sz w:val="18"/>
              <w:szCs w:val="20"/>
              <w:lang w:val="sr-Latn-CS"/>
            </w:rPr>
            <w:t>Република Србија</w:t>
          </w:r>
        </w:p>
        <w:p w14:paraId="07C6D0D3" w14:textId="77777777" w:rsidR="00EC5CF1" w:rsidRPr="00D1320D" w:rsidRDefault="00EC5CF1" w:rsidP="004C7826">
          <w:pPr>
            <w:spacing w:after="0" w:line="240" w:lineRule="auto"/>
            <w:jc w:val="both"/>
            <w:rPr>
              <w:rFonts w:ascii="Calibri" w:eastAsia="Times New Roman" w:hAnsi="Calibri" w:cs="Times New Roman"/>
              <w:noProof/>
              <w:color w:val="000000"/>
              <w:sz w:val="18"/>
              <w:szCs w:val="20"/>
              <w:lang w:val="sr-Latn-CS"/>
            </w:rPr>
          </w:pPr>
          <w:r w:rsidRPr="00D1320D">
            <w:rPr>
              <w:rFonts w:ascii="Calibri" w:eastAsia="Times New Roman" w:hAnsi="Calibri" w:cs="Times New Roman"/>
              <w:noProof/>
              <w:color w:val="000000"/>
              <w:sz w:val="18"/>
              <w:szCs w:val="20"/>
              <w:lang w:val="sr-Latn-CS"/>
            </w:rPr>
            <w:t xml:space="preserve">Аутономна </w:t>
          </w:r>
          <w:r w:rsidRPr="00D1320D">
            <w:rPr>
              <w:rFonts w:ascii="Calibri" w:eastAsia="Times New Roman" w:hAnsi="Calibri" w:cs="Times New Roman"/>
              <w:noProof/>
              <w:color w:val="000000"/>
              <w:sz w:val="18"/>
              <w:szCs w:val="20"/>
              <w:lang w:val="sr-Cyrl-RS"/>
            </w:rPr>
            <w:t>п</w:t>
          </w:r>
          <w:r w:rsidRPr="00D1320D">
            <w:rPr>
              <w:rFonts w:ascii="Calibri" w:eastAsia="Times New Roman" w:hAnsi="Calibri" w:cs="Times New Roman"/>
              <w:noProof/>
              <w:color w:val="000000"/>
              <w:sz w:val="18"/>
              <w:szCs w:val="20"/>
              <w:lang w:val="sr-Latn-CS"/>
            </w:rPr>
            <w:t>окрајина Војводина</w:t>
          </w:r>
        </w:p>
        <w:p w14:paraId="7145E426" w14:textId="77777777" w:rsidR="00EC5CF1" w:rsidRPr="00D1320D" w:rsidRDefault="00EC5CF1" w:rsidP="004C7826">
          <w:pPr>
            <w:spacing w:after="0" w:line="240" w:lineRule="auto"/>
            <w:jc w:val="both"/>
            <w:rPr>
              <w:rFonts w:ascii="Calibri" w:eastAsia="Times New Roman" w:hAnsi="Calibri" w:cs="Times New Roman"/>
              <w:noProof/>
              <w:color w:val="000000"/>
              <w:sz w:val="2"/>
              <w:szCs w:val="16"/>
              <w:lang w:val="sr-Latn-CS"/>
            </w:rPr>
          </w:pPr>
        </w:p>
        <w:p w14:paraId="214E7A2C" w14:textId="77777777" w:rsidR="00EC5CF1" w:rsidRPr="00D1320D" w:rsidRDefault="00EC5CF1" w:rsidP="004C7826">
          <w:pPr>
            <w:spacing w:after="0" w:line="204" w:lineRule="auto"/>
            <w:jc w:val="both"/>
            <w:rPr>
              <w:rFonts w:ascii="Calibri" w:eastAsia="Times New Roman" w:hAnsi="Calibri" w:cs="Arial"/>
              <w:b/>
              <w:noProof/>
              <w:lang w:val="sr-Latn-CS"/>
            </w:rPr>
          </w:pPr>
          <w:r w:rsidRPr="00D1320D">
            <w:rPr>
              <w:rFonts w:ascii="Calibri" w:eastAsia="Times New Roman" w:hAnsi="Calibri" w:cs="Arial"/>
              <w:b/>
              <w:noProof/>
              <w:lang w:val="sr-Latn-CS"/>
            </w:rPr>
            <w:t>Покрaјински секретaријaт зa спорт и омлaдину</w:t>
          </w:r>
        </w:p>
        <w:p w14:paraId="5AB1A0E8" w14:textId="77777777" w:rsidR="00EC5CF1" w:rsidRPr="00D1320D" w:rsidRDefault="00EC5CF1" w:rsidP="004C7826">
          <w:pPr>
            <w:tabs>
              <w:tab w:val="center" w:pos="4536"/>
              <w:tab w:val="right" w:pos="9072"/>
            </w:tabs>
            <w:spacing w:after="0" w:line="240" w:lineRule="auto"/>
            <w:jc w:val="both"/>
            <w:rPr>
              <w:rFonts w:ascii="Calibri" w:eastAsia="Times New Roman" w:hAnsi="Calibri" w:cs="Times New Roman"/>
              <w:noProof/>
              <w:color w:val="000000"/>
              <w:sz w:val="6"/>
              <w:szCs w:val="16"/>
              <w:lang w:val="sr-Latn-CS"/>
            </w:rPr>
          </w:pPr>
        </w:p>
        <w:p w14:paraId="6B76C396" w14:textId="77777777" w:rsidR="00EC5CF1" w:rsidRPr="00D1320D" w:rsidRDefault="00EC5CF1" w:rsidP="004C7826">
          <w:pPr>
            <w:tabs>
              <w:tab w:val="center" w:pos="4536"/>
              <w:tab w:val="right" w:pos="9072"/>
            </w:tabs>
            <w:spacing w:after="0" w:line="240" w:lineRule="auto"/>
            <w:jc w:val="both"/>
            <w:rPr>
              <w:rFonts w:ascii="Calibri" w:eastAsia="Times New Roman" w:hAnsi="Calibri" w:cs="Times New Roman"/>
              <w:noProof/>
              <w:color w:val="000000"/>
              <w:sz w:val="20"/>
              <w:szCs w:val="20"/>
              <w:lang w:val="sr-Latn-CS"/>
            </w:rPr>
          </w:pPr>
          <w:r w:rsidRPr="00D1320D">
            <w:rPr>
              <w:rFonts w:ascii="Calibri" w:eastAsia="Times New Roman" w:hAnsi="Calibri" w:cs="Times New Roman"/>
              <w:noProof/>
              <w:color w:val="000000"/>
              <w:sz w:val="16"/>
              <w:szCs w:val="16"/>
              <w:lang w:val="sr-Latn-CS"/>
            </w:rPr>
            <w:t>Булевар Михајла Пупина 16, 21000 Нови Сад</w:t>
          </w:r>
        </w:p>
        <w:p w14:paraId="463A537E" w14:textId="77777777" w:rsidR="00EC5CF1" w:rsidRPr="00D1320D" w:rsidRDefault="00EC5CF1" w:rsidP="004C7826">
          <w:pPr>
            <w:tabs>
              <w:tab w:val="center" w:pos="4320"/>
              <w:tab w:val="right" w:pos="8640"/>
            </w:tabs>
            <w:spacing w:after="0" w:line="240" w:lineRule="auto"/>
            <w:jc w:val="both"/>
            <w:rPr>
              <w:rFonts w:ascii="Calibri" w:eastAsia="Times New Roman" w:hAnsi="Calibri" w:cs="Times New Roman"/>
              <w:noProof/>
              <w:color w:val="000000"/>
              <w:sz w:val="16"/>
              <w:szCs w:val="16"/>
              <w:lang w:val="sr-Latn-CS"/>
            </w:rPr>
          </w:pPr>
          <w:r w:rsidRPr="00D1320D">
            <w:rPr>
              <w:rFonts w:ascii="Calibri" w:eastAsia="Times New Roman" w:hAnsi="Calibri" w:cs="Times New Roman"/>
              <w:noProof/>
              <w:color w:val="000000"/>
              <w:sz w:val="16"/>
              <w:szCs w:val="16"/>
              <w:lang w:val="sr-Latn-CS"/>
            </w:rPr>
            <w:t xml:space="preserve">Т: +381 21 </w:t>
          </w:r>
          <w:r w:rsidRPr="00D1320D">
            <w:rPr>
              <w:rFonts w:ascii="Calibri" w:eastAsia="Times New Roman" w:hAnsi="Calibri" w:cs="Times New Roman"/>
              <w:noProof/>
              <w:sz w:val="16"/>
              <w:szCs w:val="16"/>
              <w:lang w:val="sr-Latn-CS"/>
            </w:rPr>
            <w:t xml:space="preserve">487 48 71  </w:t>
          </w:r>
          <w:r w:rsidRPr="00D1320D">
            <w:rPr>
              <w:rFonts w:ascii="Calibri" w:eastAsia="Times New Roman" w:hAnsi="Calibri" w:cs="Times New Roman"/>
              <w:noProof/>
              <w:color w:val="000000"/>
              <w:sz w:val="16"/>
              <w:szCs w:val="16"/>
              <w:lang w:val="sr-Latn-CS"/>
            </w:rPr>
            <w:t xml:space="preserve">F: +381 21 </w:t>
          </w:r>
          <w:r w:rsidRPr="00D1320D">
            <w:rPr>
              <w:rFonts w:ascii="Calibri" w:eastAsia="Times New Roman" w:hAnsi="Calibri" w:cs="Times New Roman"/>
              <w:noProof/>
              <w:sz w:val="16"/>
              <w:szCs w:val="16"/>
              <w:lang w:val="sr-Latn-CS"/>
            </w:rPr>
            <w:t>456 015</w:t>
          </w:r>
        </w:p>
        <w:p w14:paraId="46A1E84F" w14:textId="77777777" w:rsidR="00EC5CF1" w:rsidRPr="00D1320D" w:rsidRDefault="00EC5CF1" w:rsidP="004C7826">
          <w:pPr>
            <w:tabs>
              <w:tab w:val="center" w:pos="4536"/>
              <w:tab w:val="right" w:pos="9072"/>
            </w:tabs>
            <w:spacing w:after="0" w:line="240" w:lineRule="auto"/>
            <w:jc w:val="both"/>
            <w:rPr>
              <w:rFonts w:ascii="Calibri" w:eastAsia="Times New Roman" w:hAnsi="Calibri" w:cs="Times New Roman"/>
              <w:noProof/>
              <w:color w:val="000000"/>
              <w:sz w:val="16"/>
              <w:szCs w:val="16"/>
              <w:lang w:val="sr-Latn-CS"/>
            </w:rPr>
          </w:pPr>
          <w:r w:rsidRPr="00D1320D">
            <w:rPr>
              <w:rFonts w:ascii="Calibri" w:eastAsia="Times New Roman" w:hAnsi="Calibri" w:cs="Times New Roman"/>
              <w:noProof/>
              <w:color w:val="000000"/>
              <w:sz w:val="16"/>
              <w:szCs w:val="16"/>
              <w:lang w:val="sr-Latn-CS"/>
            </w:rPr>
            <w:t>sport@vojvodina.gov.rs | www.sio.vojvodina.gov.rs</w:t>
          </w:r>
        </w:p>
      </w:tc>
    </w:tr>
  </w:tbl>
  <w:p w14:paraId="3047D2D6" w14:textId="77777777" w:rsidR="008C5336" w:rsidRPr="00EC5CF1" w:rsidRDefault="00493AA7" w:rsidP="00EC5C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FAA"/>
    <w:multiLevelType w:val="hybridMultilevel"/>
    <w:tmpl w:val="286C00D0"/>
    <w:lvl w:ilvl="0" w:tplc="F43C55E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A66214"/>
    <w:multiLevelType w:val="hybridMultilevel"/>
    <w:tmpl w:val="1B16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7361D"/>
    <w:multiLevelType w:val="hybridMultilevel"/>
    <w:tmpl w:val="AAC6E31A"/>
    <w:lvl w:ilvl="0" w:tplc="C548D6D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718D3"/>
    <w:multiLevelType w:val="hybridMultilevel"/>
    <w:tmpl w:val="B2F01E6C"/>
    <w:lvl w:ilvl="0" w:tplc="9CEC7C66">
      <w:numFmt w:val="bullet"/>
      <w:lvlText w:val="-"/>
      <w:lvlJc w:val="left"/>
      <w:pPr>
        <w:ind w:left="720" w:hanging="360"/>
      </w:pPr>
      <w:rPr>
        <w:rFonts w:ascii="Calibri" w:eastAsiaTheme="minorEastAsia"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 w15:restartNumberingAfterBreak="0">
    <w:nsid w:val="211970D9"/>
    <w:multiLevelType w:val="hybridMultilevel"/>
    <w:tmpl w:val="B096F6B6"/>
    <w:lvl w:ilvl="0" w:tplc="F43C55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44C83"/>
    <w:multiLevelType w:val="hybridMultilevel"/>
    <w:tmpl w:val="0CB4A518"/>
    <w:lvl w:ilvl="0" w:tplc="9FC24876">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15:restartNumberingAfterBreak="0">
    <w:nsid w:val="2E412B86"/>
    <w:multiLevelType w:val="hybridMultilevel"/>
    <w:tmpl w:val="3CA4BBE4"/>
    <w:lvl w:ilvl="0" w:tplc="AC90AAFA">
      <w:start w:val="1"/>
      <w:numFmt w:val="decimal"/>
      <w:lvlText w:val="%1."/>
      <w:lvlJc w:val="left"/>
      <w:pPr>
        <w:ind w:left="360" w:hanging="360"/>
      </w:pPr>
      <w:rPr>
        <w:b w:val="0"/>
        <w:bCs/>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15:restartNumberingAfterBreak="0">
    <w:nsid w:val="3A022A9A"/>
    <w:multiLevelType w:val="hybridMultilevel"/>
    <w:tmpl w:val="24983988"/>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 w15:restartNumberingAfterBreak="0">
    <w:nsid w:val="3E8F29F5"/>
    <w:multiLevelType w:val="hybridMultilevel"/>
    <w:tmpl w:val="0F0A7884"/>
    <w:lvl w:ilvl="0" w:tplc="42FE838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62889"/>
    <w:multiLevelType w:val="hybridMultilevel"/>
    <w:tmpl w:val="60EA6886"/>
    <w:lvl w:ilvl="0" w:tplc="5B7E4ACE">
      <w:start w:val="1"/>
      <w:numFmt w:val="decimal"/>
      <w:lvlText w:val="%1."/>
      <w:lvlJc w:val="left"/>
      <w:pPr>
        <w:ind w:left="360" w:hanging="360"/>
      </w:pPr>
      <w:rPr>
        <w:rFonts w:hint="default"/>
        <w:color w:val="auto"/>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0" w15:restartNumberingAfterBreak="0">
    <w:nsid w:val="4A7D50A8"/>
    <w:multiLevelType w:val="hybridMultilevel"/>
    <w:tmpl w:val="002847B0"/>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15:restartNumberingAfterBreak="0">
    <w:nsid w:val="5702302A"/>
    <w:multiLevelType w:val="hybridMultilevel"/>
    <w:tmpl w:val="D3C6109E"/>
    <w:lvl w:ilvl="0" w:tplc="9FC24876">
      <w:start w:val="1"/>
      <w:numFmt w:val="bullet"/>
      <w:lvlText w:val=""/>
      <w:lvlJc w:val="left"/>
      <w:pPr>
        <w:ind w:left="720" w:hanging="360"/>
      </w:pPr>
      <w:rPr>
        <w:rFonts w:ascii="Symbol" w:hAnsi="Symbol"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15:restartNumberingAfterBreak="0">
    <w:nsid w:val="59A134F7"/>
    <w:multiLevelType w:val="hybridMultilevel"/>
    <w:tmpl w:val="2A86C778"/>
    <w:lvl w:ilvl="0" w:tplc="4C305F94">
      <w:numFmt w:val="bullet"/>
      <w:lvlText w:val="-"/>
      <w:lvlJc w:val="left"/>
      <w:pPr>
        <w:ind w:left="720" w:hanging="360"/>
      </w:pPr>
      <w:rPr>
        <w:rFonts w:ascii="Calibri" w:eastAsiaTheme="minorEastAsia"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15:restartNumberingAfterBreak="0">
    <w:nsid w:val="5C7676A0"/>
    <w:multiLevelType w:val="hybridMultilevel"/>
    <w:tmpl w:val="E2C09866"/>
    <w:lvl w:ilvl="0" w:tplc="FD6000BE">
      <w:numFmt w:val="bullet"/>
      <w:lvlText w:val="-"/>
      <w:lvlJc w:val="left"/>
      <w:pPr>
        <w:ind w:left="720" w:hanging="360"/>
      </w:pPr>
      <w:rPr>
        <w:rFonts w:ascii="Calibri" w:eastAsiaTheme="minorEastAsia"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15:restartNumberingAfterBreak="0">
    <w:nsid w:val="63383118"/>
    <w:multiLevelType w:val="hybridMultilevel"/>
    <w:tmpl w:val="65DAE4BA"/>
    <w:lvl w:ilvl="0" w:tplc="F43C55E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467640"/>
    <w:multiLevelType w:val="hybridMultilevel"/>
    <w:tmpl w:val="97786FC6"/>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15:restartNumberingAfterBreak="0">
    <w:nsid w:val="74C32348"/>
    <w:multiLevelType w:val="hybridMultilevel"/>
    <w:tmpl w:val="889AF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433CB"/>
    <w:multiLevelType w:val="hybridMultilevel"/>
    <w:tmpl w:val="863C26F8"/>
    <w:lvl w:ilvl="0" w:tplc="F43C55E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AA1A98"/>
    <w:multiLevelType w:val="hybridMultilevel"/>
    <w:tmpl w:val="035ACDA8"/>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1"/>
  </w:num>
  <w:num w:numId="2">
    <w:abstractNumId w:val="9"/>
  </w:num>
  <w:num w:numId="3">
    <w:abstractNumId w:val="16"/>
  </w:num>
  <w:num w:numId="4">
    <w:abstractNumId w:val="4"/>
  </w:num>
  <w:num w:numId="5">
    <w:abstractNumId w:val="0"/>
  </w:num>
  <w:num w:numId="6">
    <w:abstractNumId w:val="17"/>
  </w:num>
  <w:num w:numId="7">
    <w:abstractNumId w:val="14"/>
  </w:num>
  <w:num w:numId="8">
    <w:abstractNumId w:val="2"/>
  </w:num>
  <w:num w:numId="9">
    <w:abstractNumId w:val="8"/>
  </w:num>
  <w:num w:numId="10">
    <w:abstractNumId w:val="15"/>
  </w:num>
  <w:num w:numId="11">
    <w:abstractNumId w:val="13"/>
  </w:num>
  <w:num w:numId="12">
    <w:abstractNumId w:val="11"/>
  </w:num>
  <w:num w:numId="13">
    <w:abstractNumId w:val="10"/>
  </w:num>
  <w:num w:numId="14">
    <w:abstractNumId w:val="5"/>
  </w:num>
  <w:num w:numId="15">
    <w:abstractNumId w:val="12"/>
  </w:num>
  <w:num w:numId="16">
    <w:abstractNumId w:val="18"/>
  </w:num>
  <w:num w:numId="17">
    <w:abstractNumId w:val="7"/>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56"/>
    <w:rsid w:val="00024FBD"/>
    <w:rsid w:val="00043C68"/>
    <w:rsid w:val="00046974"/>
    <w:rsid w:val="00051E0D"/>
    <w:rsid w:val="00073AE9"/>
    <w:rsid w:val="000805F6"/>
    <w:rsid w:val="00083A34"/>
    <w:rsid w:val="00095D9F"/>
    <w:rsid w:val="000B07E3"/>
    <w:rsid w:val="00101EE4"/>
    <w:rsid w:val="00104CDA"/>
    <w:rsid w:val="00137FF6"/>
    <w:rsid w:val="00150C4C"/>
    <w:rsid w:val="00171F66"/>
    <w:rsid w:val="00186BE9"/>
    <w:rsid w:val="001B1A89"/>
    <w:rsid w:val="001B7B2C"/>
    <w:rsid w:val="001C6B7B"/>
    <w:rsid w:val="001F193E"/>
    <w:rsid w:val="00225263"/>
    <w:rsid w:val="00227BA0"/>
    <w:rsid w:val="002510EA"/>
    <w:rsid w:val="002514BE"/>
    <w:rsid w:val="0025260B"/>
    <w:rsid w:val="0026343A"/>
    <w:rsid w:val="00283ABA"/>
    <w:rsid w:val="002D2E5E"/>
    <w:rsid w:val="002F5BE3"/>
    <w:rsid w:val="00305E10"/>
    <w:rsid w:val="003359AE"/>
    <w:rsid w:val="00350F63"/>
    <w:rsid w:val="00375E24"/>
    <w:rsid w:val="003858AD"/>
    <w:rsid w:val="00387454"/>
    <w:rsid w:val="00393896"/>
    <w:rsid w:val="003B101A"/>
    <w:rsid w:val="003C55FB"/>
    <w:rsid w:val="003F1639"/>
    <w:rsid w:val="0040635F"/>
    <w:rsid w:val="0043183D"/>
    <w:rsid w:val="00437CDF"/>
    <w:rsid w:val="00480372"/>
    <w:rsid w:val="00485211"/>
    <w:rsid w:val="00493AA7"/>
    <w:rsid w:val="004D65ED"/>
    <w:rsid w:val="00506621"/>
    <w:rsid w:val="00507DC6"/>
    <w:rsid w:val="00507EFC"/>
    <w:rsid w:val="00562074"/>
    <w:rsid w:val="00574D28"/>
    <w:rsid w:val="005A14B9"/>
    <w:rsid w:val="005F091F"/>
    <w:rsid w:val="005F17B7"/>
    <w:rsid w:val="00602F09"/>
    <w:rsid w:val="00607731"/>
    <w:rsid w:val="00611595"/>
    <w:rsid w:val="006156DC"/>
    <w:rsid w:val="00615845"/>
    <w:rsid w:val="00621A45"/>
    <w:rsid w:val="00644C64"/>
    <w:rsid w:val="00662928"/>
    <w:rsid w:val="00684D30"/>
    <w:rsid w:val="006A5121"/>
    <w:rsid w:val="006A7DEA"/>
    <w:rsid w:val="006E13B2"/>
    <w:rsid w:val="006E65E1"/>
    <w:rsid w:val="007045EC"/>
    <w:rsid w:val="007261D2"/>
    <w:rsid w:val="007436B3"/>
    <w:rsid w:val="00754EB5"/>
    <w:rsid w:val="00767B0D"/>
    <w:rsid w:val="007B330A"/>
    <w:rsid w:val="007D0D0E"/>
    <w:rsid w:val="007D5B83"/>
    <w:rsid w:val="007F5534"/>
    <w:rsid w:val="0080346C"/>
    <w:rsid w:val="008156BB"/>
    <w:rsid w:val="00827B38"/>
    <w:rsid w:val="00836AC3"/>
    <w:rsid w:val="00836B3B"/>
    <w:rsid w:val="00845779"/>
    <w:rsid w:val="00875D2C"/>
    <w:rsid w:val="0089391D"/>
    <w:rsid w:val="0089617F"/>
    <w:rsid w:val="00896745"/>
    <w:rsid w:val="008A0AC3"/>
    <w:rsid w:val="008A19A4"/>
    <w:rsid w:val="008B09E0"/>
    <w:rsid w:val="008B4DA2"/>
    <w:rsid w:val="008C124B"/>
    <w:rsid w:val="008C569C"/>
    <w:rsid w:val="008F2384"/>
    <w:rsid w:val="008F4484"/>
    <w:rsid w:val="008F4EFA"/>
    <w:rsid w:val="00902104"/>
    <w:rsid w:val="00924992"/>
    <w:rsid w:val="009505EB"/>
    <w:rsid w:val="00962744"/>
    <w:rsid w:val="00967826"/>
    <w:rsid w:val="009E71C0"/>
    <w:rsid w:val="00A30085"/>
    <w:rsid w:val="00A36F22"/>
    <w:rsid w:val="00A3738B"/>
    <w:rsid w:val="00A577C5"/>
    <w:rsid w:val="00A82EC6"/>
    <w:rsid w:val="00A872F6"/>
    <w:rsid w:val="00AB6F32"/>
    <w:rsid w:val="00AB72CC"/>
    <w:rsid w:val="00AD66CE"/>
    <w:rsid w:val="00B10EB3"/>
    <w:rsid w:val="00B1279F"/>
    <w:rsid w:val="00B76E17"/>
    <w:rsid w:val="00B85E1F"/>
    <w:rsid w:val="00B85FED"/>
    <w:rsid w:val="00BB2273"/>
    <w:rsid w:val="00C04AA3"/>
    <w:rsid w:val="00C06C55"/>
    <w:rsid w:val="00C14A82"/>
    <w:rsid w:val="00C239CB"/>
    <w:rsid w:val="00C337FE"/>
    <w:rsid w:val="00C34ACC"/>
    <w:rsid w:val="00C45861"/>
    <w:rsid w:val="00C9181A"/>
    <w:rsid w:val="00C963AA"/>
    <w:rsid w:val="00C9736E"/>
    <w:rsid w:val="00C9738A"/>
    <w:rsid w:val="00D1320D"/>
    <w:rsid w:val="00D16F21"/>
    <w:rsid w:val="00D32BA5"/>
    <w:rsid w:val="00D369C6"/>
    <w:rsid w:val="00D36D98"/>
    <w:rsid w:val="00DD014C"/>
    <w:rsid w:val="00DD4C33"/>
    <w:rsid w:val="00E003DC"/>
    <w:rsid w:val="00E45FCA"/>
    <w:rsid w:val="00E4622E"/>
    <w:rsid w:val="00E560D7"/>
    <w:rsid w:val="00E6145F"/>
    <w:rsid w:val="00E650A8"/>
    <w:rsid w:val="00E73856"/>
    <w:rsid w:val="00EC5CF1"/>
    <w:rsid w:val="00ED0594"/>
    <w:rsid w:val="00ED5F48"/>
    <w:rsid w:val="00F03FA3"/>
    <w:rsid w:val="00F045A5"/>
    <w:rsid w:val="00F677FF"/>
    <w:rsid w:val="00F801F9"/>
    <w:rsid w:val="00FB0BD1"/>
    <w:rsid w:val="00FB12F7"/>
    <w:rsid w:val="00FB5687"/>
    <w:rsid w:val="00FD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7F9CB"/>
  <w15:docId w15:val="{C2B0DA30-BC2E-4F44-B9D2-CA565BEC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hidden/>
    <w:uiPriority w:val="99"/>
    <w:rsid w:val="00D1320D"/>
    <w:pPr>
      <w:tabs>
        <w:tab w:val="center" w:pos="4536"/>
        <w:tab w:val="right" w:pos="9072"/>
      </w:tabs>
      <w:spacing w:after="0" w:line="240" w:lineRule="auto"/>
      <w:jc w:val="both"/>
    </w:pPr>
    <w:rPr>
      <w:rFonts w:ascii="Arial" w:eastAsia="Times New Roman" w:hAnsi="Arial" w:cs="Times New Roman"/>
      <w:noProof/>
      <w:lang w:val="sr-Latn-CS"/>
    </w:rPr>
  </w:style>
  <w:style w:type="character" w:customStyle="1" w:styleId="HeaderChar">
    <w:name w:val="Header Char"/>
    <w:basedOn w:val="DefaultParagraphFont"/>
    <w:link w:val="Header"/>
    <w:uiPriority w:val="99"/>
    <w:rsid w:val="00D1320D"/>
    <w:rPr>
      <w:rFonts w:ascii="Arial" w:eastAsia="Times New Roman" w:hAnsi="Arial" w:cs="Times New Roman"/>
      <w:noProof/>
      <w:lang w:val="sr-Latn-CS"/>
    </w:rPr>
  </w:style>
  <w:style w:type="paragraph" w:styleId="Footer">
    <w:name w:val="footer"/>
    <w:basedOn w:val="Normal"/>
    <w:link w:val="FooterChar"/>
    <w:uiPriority w:val="99"/>
    <w:rsid w:val="00D1320D"/>
    <w:pPr>
      <w:tabs>
        <w:tab w:val="center" w:pos="4320"/>
        <w:tab w:val="right" w:pos="8640"/>
      </w:tabs>
      <w:spacing w:after="0" w:line="240" w:lineRule="auto"/>
      <w:jc w:val="both"/>
    </w:pPr>
    <w:rPr>
      <w:rFonts w:ascii="Arial" w:eastAsia="Times New Roman" w:hAnsi="Arial" w:cs="Times New Roman"/>
      <w:noProof/>
      <w:lang w:val="sr-Latn-CS"/>
    </w:rPr>
  </w:style>
  <w:style w:type="character" w:customStyle="1" w:styleId="FooterChar">
    <w:name w:val="Footer Char"/>
    <w:basedOn w:val="DefaultParagraphFont"/>
    <w:link w:val="Footer"/>
    <w:uiPriority w:val="99"/>
    <w:rsid w:val="00D1320D"/>
    <w:rPr>
      <w:rFonts w:ascii="Arial" w:eastAsia="Times New Roman" w:hAnsi="Arial" w:cs="Times New Roman"/>
      <w:noProof/>
      <w:lang w:val="sr-Latn-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E73856"/>
    <w:pPr>
      <w:ind w:left="720"/>
      <w:contextualSpacing/>
    </w:pPr>
    <w:rPr>
      <w:rFonts w:eastAsiaTheme="minorHAnsi"/>
    </w:rPr>
  </w:style>
  <w:style w:type="character" w:styleId="Hyperlink">
    <w:name w:val="Hyperlink"/>
    <w:basedOn w:val="DefaultParagraphFont"/>
    <w:uiPriority w:val="99"/>
    <w:unhideWhenUsed/>
    <w:rsid w:val="00E738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84164">
      <w:bodyDiv w:val="1"/>
      <w:marLeft w:val="0"/>
      <w:marRight w:val="0"/>
      <w:marTop w:val="0"/>
      <w:marBottom w:val="0"/>
      <w:divBdr>
        <w:top w:val="none" w:sz="0" w:space="0" w:color="auto"/>
        <w:left w:val="none" w:sz="0" w:space="0" w:color="auto"/>
        <w:bottom w:val="none" w:sz="0" w:space="0" w:color="auto"/>
        <w:right w:val="none" w:sz="0" w:space="0" w:color="auto"/>
      </w:divBdr>
    </w:div>
    <w:div w:id="11455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o.vojvodina.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ena.ristic\AppData\Roaming\Microsoft\Template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FCDFA-4688-4FA7-84DD-0A3FA1F3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Branimir Sovljanski</dc:creator>
  <cp:lastModifiedBy>Jelena Papic</cp:lastModifiedBy>
  <cp:revision>2</cp:revision>
  <cp:lastPrinted>2020-02-12T07:47:00Z</cp:lastPrinted>
  <dcterms:created xsi:type="dcterms:W3CDTF">2022-02-03T08:13:00Z</dcterms:created>
  <dcterms:modified xsi:type="dcterms:W3CDTF">2022-02-03T08:13:00Z</dcterms:modified>
</cp:coreProperties>
</file>